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6D" w:rsidRDefault="00865B6D" w:rsidP="00D74681">
      <w:pPr>
        <w:jc w:val="both"/>
      </w:pPr>
    </w:p>
    <w:p w:rsidR="00865B6D" w:rsidRDefault="00865B6D" w:rsidP="005B529A">
      <w:pPr>
        <w:rPr>
          <w:b/>
        </w:rPr>
      </w:pPr>
      <w:r w:rsidRPr="00865B6D">
        <w:rPr>
          <w:b/>
        </w:rPr>
        <w:t>PRIOPĆENJE ZA MEDIJE</w:t>
      </w:r>
    </w:p>
    <w:p w:rsidR="005B529A" w:rsidRDefault="005B529A" w:rsidP="005B529A">
      <w:pPr>
        <w:rPr>
          <w:b/>
        </w:rPr>
      </w:pPr>
    </w:p>
    <w:p w:rsidR="005B529A" w:rsidRDefault="005B529A" w:rsidP="005B529A">
      <w:pPr>
        <w:jc w:val="both"/>
      </w:pPr>
      <w:r>
        <w:rPr>
          <w:rFonts w:ascii="Arial" w:hAnsi="Arial" w:cs="Arial"/>
          <w:sz w:val="22"/>
          <w:szCs w:val="22"/>
        </w:rPr>
        <w:t>ZAGREB, 28. siječnja 2019.</w:t>
      </w:r>
    </w:p>
    <w:p w:rsidR="005B529A" w:rsidRPr="00865B6D" w:rsidRDefault="005B529A" w:rsidP="005B529A">
      <w:pPr>
        <w:rPr>
          <w:b/>
        </w:rPr>
      </w:pPr>
    </w:p>
    <w:p w:rsidR="00865B6D" w:rsidRDefault="00865B6D" w:rsidP="00865B6D">
      <w:pPr>
        <w:jc w:val="right"/>
      </w:pPr>
    </w:p>
    <w:p w:rsidR="00511E40" w:rsidRPr="00511E40" w:rsidRDefault="00511E40" w:rsidP="00511E40">
      <w:pPr>
        <w:pStyle w:val="yiv898573542msonormal"/>
        <w:spacing w:line="360" w:lineRule="auto"/>
        <w:jc w:val="center"/>
        <w:rPr>
          <w:b/>
          <w:bCs/>
          <w:color w:val="000000"/>
        </w:rPr>
      </w:pPr>
      <w:r w:rsidRPr="00511E40">
        <w:rPr>
          <w:b/>
          <w:bCs/>
          <w:color w:val="000000"/>
        </w:rPr>
        <w:t>Objavljen program „Konkurentnost turističkog gospodarstva“</w:t>
      </w:r>
    </w:p>
    <w:p w:rsidR="00865B6D" w:rsidRPr="00511E40" w:rsidRDefault="00865B6D" w:rsidP="00865B6D">
      <w:pPr>
        <w:jc w:val="right"/>
        <w:rPr>
          <w:i/>
        </w:rPr>
      </w:pPr>
    </w:p>
    <w:p w:rsidR="00865B6D" w:rsidRPr="00511E40" w:rsidRDefault="00511E40" w:rsidP="00865B6D">
      <w:pPr>
        <w:pStyle w:val="yiv898573542msonormal"/>
        <w:spacing w:line="360" w:lineRule="auto"/>
        <w:jc w:val="center"/>
        <w:rPr>
          <w:b/>
          <w:bCs/>
          <w:i/>
          <w:color w:val="000000"/>
        </w:rPr>
      </w:pPr>
      <w:bookmarkStart w:id="0" w:name="_MailAutoSig"/>
      <w:r w:rsidRPr="00511E40">
        <w:rPr>
          <w:b/>
          <w:bCs/>
          <w:i/>
          <w:color w:val="000000"/>
        </w:rPr>
        <w:t>Ministarstvo turizma osiguralo g</w:t>
      </w:r>
      <w:r w:rsidR="00865B6D" w:rsidRPr="00511E40">
        <w:rPr>
          <w:b/>
          <w:bCs/>
          <w:i/>
          <w:color w:val="000000"/>
        </w:rPr>
        <w:t>otovo 24 milijuna kuna za unaprjeđenje turističke ponude u 2019.</w:t>
      </w:r>
    </w:p>
    <w:p w:rsidR="00865B6D" w:rsidRPr="00865B6D" w:rsidRDefault="00865B6D" w:rsidP="00511E40">
      <w:pPr>
        <w:pStyle w:val="yiv898573542msonormal"/>
        <w:spacing w:line="360" w:lineRule="auto"/>
        <w:rPr>
          <w:b/>
          <w:bCs/>
          <w:color w:val="000000"/>
        </w:rPr>
      </w:pPr>
    </w:p>
    <w:p w:rsidR="00865B6D" w:rsidRPr="00865B6D" w:rsidRDefault="00865B6D" w:rsidP="00865B6D">
      <w:pPr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>S ciljem podizanja konkurentnosti</w:t>
      </w:r>
      <w:r w:rsidR="005B529A">
        <w:rPr>
          <w:bCs/>
          <w:color w:val="000000"/>
        </w:rPr>
        <w:t xml:space="preserve"> turističkog gospodarstva u 2019</w:t>
      </w:r>
      <w:r w:rsidRPr="00865B6D">
        <w:rPr>
          <w:bCs/>
          <w:color w:val="000000"/>
        </w:rPr>
        <w:t xml:space="preserve">. godini, Ministarstvo turizma objavilo je javni poziv za program Konkurentnost turističkog gospodarstva. Kroz navedeni program u proračunu je predviđeno 23,6 milijuna kuna bespovratnih sredstava koja će se kroz niz mjera dodjeljivati za povećanje kvalitete i dodatne ponude ugostiteljskih objekata, razvoj novih proizvoda u destinaciji, održivi razvoj, internacionalizaciju poslovanja, korištenih novih tehnologija i sl.  </w:t>
      </w:r>
    </w:p>
    <w:p w:rsidR="00865B6D" w:rsidRPr="00865B6D" w:rsidRDefault="00865B6D" w:rsidP="00865B6D">
      <w:pPr>
        <w:spacing w:line="276" w:lineRule="auto"/>
        <w:jc w:val="both"/>
        <w:rPr>
          <w:bCs/>
          <w:color w:val="000000"/>
        </w:rPr>
      </w:pPr>
    </w:p>
    <w:p w:rsidR="005B529A" w:rsidRDefault="005B529A" w:rsidP="00865B6D">
      <w:pPr>
        <w:spacing w:line="276" w:lineRule="auto"/>
        <w:jc w:val="both"/>
        <w:rPr>
          <w:bCs/>
          <w:color w:val="000000"/>
        </w:rPr>
      </w:pPr>
      <w:r w:rsidRPr="00010624">
        <w:rPr>
          <w:bCs/>
          <w:i/>
          <w:color w:val="000000"/>
        </w:rPr>
        <w:t>„Ove godine izdvojili smo gotovo 24 milijuna kuna za projekte namijenjene jačanju atraktivnosti i konkurentnosti hrvatskog turizma</w:t>
      </w:r>
      <w:r w:rsidR="00010624" w:rsidRPr="00010624">
        <w:rPr>
          <w:bCs/>
          <w:i/>
          <w:color w:val="000000"/>
        </w:rPr>
        <w:t>.</w:t>
      </w:r>
      <w:r w:rsidRPr="00010624">
        <w:rPr>
          <w:bCs/>
          <w:i/>
          <w:color w:val="000000"/>
        </w:rPr>
        <w:t xml:space="preserve"> </w:t>
      </w:r>
      <w:r w:rsidR="00010624" w:rsidRPr="00010624">
        <w:rPr>
          <w:bCs/>
          <w:i/>
          <w:color w:val="000000"/>
        </w:rPr>
        <w:t>P</w:t>
      </w:r>
      <w:r w:rsidRPr="00010624">
        <w:rPr>
          <w:bCs/>
          <w:i/>
          <w:color w:val="000000"/>
        </w:rPr>
        <w:t>osebnu pažnju</w:t>
      </w:r>
      <w:r w:rsidR="00010624">
        <w:rPr>
          <w:bCs/>
          <w:i/>
          <w:color w:val="000000"/>
        </w:rPr>
        <w:t xml:space="preserve"> kroz</w:t>
      </w:r>
      <w:r w:rsidR="00010624" w:rsidRPr="00010624">
        <w:rPr>
          <w:bCs/>
          <w:i/>
          <w:color w:val="000000"/>
        </w:rPr>
        <w:t xml:space="preserve"> program</w:t>
      </w:r>
      <w:r w:rsidR="00865B6D" w:rsidRPr="00010624">
        <w:rPr>
          <w:bCs/>
          <w:i/>
          <w:color w:val="000000"/>
        </w:rPr>
        <w:t xml:space="preserve"> posveć</w:t>
      </w:r>
      <w:r w:rsidR="00010624" w:rsidRPr="00010624">
        <w:rPr>
          <w:bCs/>
          <w:i/>
          <w:color w:val="000000"/>
        </w:rPr>
        <w:t>ujemo i</w:t>
      </w:r>
      <w:r w:rsidR="00865B6D" w:rsidRPr="00010624">
        <w:rPr>
          <w:bCs/>
          <w:i/>
          <w:color w:val="000000"/>
        </w:rPr>
        <w:t xml:space="preserve"> razvoju turizma na kontinentu, dalmatinskom zaleđu i otocima, održivom razvoju, korištenju novih digitalnih tehnologija te povezivanju poljoprivrede i turizma</w:t>
      </w:r>
      <w:r w:rsidR="00010624" w:rsidRPr="00010624">
        <w:rPr>
          <w:bCs/>
          <w:i/>
          <w:color w:val="000000"/>
        </w:rPr>
        <w:t>. Nastavak je to naših dosadašnjih aktivnosti usmjerenih prema ravnomjernijem turističkom razvoju naše zemlje, povećanju turističke potrošnje i poticanju cjelogodišnjeg turizma.</w:t>
      </w:r>
      <w:r w:rsidRPr="00010624">
        <w:rPr>
          <w:bCs/>
          <w:i/>
          <w:color w:val="000000"/>
        </w:rPr>
        <w:t>“</w:t>
      </w:r>
      <w:r w:rsidR="00865B6D" w:rsidRPr="00865B6D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istaknuo je </w:t>
      </w:r>
      <w:r w:rsidRPr="005B529A">
        <w:rPr>
          <w:b/>
          <w:bCs/>
          <w:color w:val="000000"/>
        </w:rPr>
        <w:t xml:space="preserve">ministar turizma Gari </w:t>
      </w:r>
      <w:proofErr w:type="spellStart"/>
      <w:r w:rsidRPr="005B529A">
        <w:rPr>
          <w:b/>
          <w:bCs/>
          <w:color w:val="000000"/>
        </w:rPr>
        <w:t>Cappelli</w:t>
      </w:r>
      <w:proofErr w:type="spellEnd"/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>povodom objave javnog poziva.</w:t>
      </w:r>
    </w:p>
    <w:p w:rsidR="005B529A" w:rsidRDefault="005B529A" w:rsidP="00865B6D">
      <w:pPr>
        <w:spacing w:line="276" w:lineRule="auto"/>
        <w:jc w:val="both"/>
        <w:rPr>
          <w:bCs/>
          <w:color w:val="000000"/>
        </w:rPr>
      </w:pPr>
    </w:p>
    <w:p w:rsidR="00865B6D" w:rsidRPr="00865B6D" w:rsidRDefault="00865B6D" w:rsidP="005B529A">
      <w:pPr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>Sredstava su dostupna subjektima malog gospodarstva (trgovačka društva izvan javnog sektora, obrti i zadruge) i obiteljskim poljoprivrednim gospodarstvima koja pružaju ugostiteljske i/ili turističke usluge.</w:t>
      </w:r>
      <w:r w:rsidR="005B529A">
        <w:rPr>
          <w:bCs/>
          <w:color w:val="000000"/>
        </w:rPr>
        <w:t xml:space="preserve"> </w:t>
      </w:r>
      <w:r w:rsidRPr="00865B6D">
        <w:rPr>
          <w:bCs/>
          <w:color w:val="000000"/>
        </w:rPr>
        <w:t>Financiranjem turističkih projekata diljem cijele Hrvatske želi se ojačati ponuda, a samim time i potrošnja u destinaciji, povećati razinu popunjenosti objekat</w:t>
      </w:r>
      <w:r w:rsidR="00010624">
        <w:rPr>
          <w:bCs/>
          <w:color w:val="000000"/>
        </w:rPr>
        <w:t>a tijekom čitave godine</w:t>
      </w:r>
      <w:r w:rsidRPr="00865B6D">
        <w:rPr>
          <w:bCs/>
          <w:color w:val="000000"/>
        </w:rPr>
        <w:t xml:space="preserve">, povećati zapošljavanje u turizmu, povezati dionike u turizmu, prvenstveno lokalne proizvođače te ojačati međunarodnu prepoznatljivost Hrvatske. </w:t>
      </w: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 xml:space="preserve">Program dodjele bespovratnih potpora sastavljen je od četiri mjere, od kojih svaka ima različitu namjenu sufinanciranja. Kroz mjeru A podupire se povećanje standarda, kvalitete i dodatne ponude smještajnih objekata vrste: hoteli, kampovi, ostali ugostiteljski objekti za smještaj i obiteljska poljoprivredna gospodarstva, sufinanciranjem prihvatljivih projektnih aktivnosti, kao što su: podizanje kvalitete uz uvjet dostizanja više kategorije, razvoj i unaprjeđenje dodatnih sadržaja, tematsko definiranje smještajnih kapaciteta, ulaganje u zeleno poduzetništvo, izgradnju novog kampa ili kamp odmorišta u kontinentalnom dijelu Hrvatske, jadranskom zaleđu te na otocima gdje takvih sadržaja nema, aktiviranje planinarskih i lovačkih domova, izgradnja ili uređenje objekata za robinzonski i BIKE smještaj, povećanje i poboljšanje uvjeta za boravak osoba s invaliditetom, uređenje izletišta, kušaonica, vinotočja, </w:t>
      </w:r>
      <w:r w:rsidRPr="00865B6D">
        <w:rPr>
          <w:bCs/>
          <w:color w:val="000000"/>
        </w:rPr>
        <w:lastRenderedPageBreak/>
        <w:t xml:space="preserve">te razvoj etno, tradicijskih, lovnih, ribolovnih, konjičkih i drugih dodatnih sadržaja na poljoprivrednim gospodarstvima. </w:t>
      </w: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 xml:space="preserve">Kroz mjeru B potiče se razvoj posebnih oblika turizma kao što su ciklo-turizam, aktivni i pustolovni kroz ulaganja u infrastrukturu, servise i opremu, uređenje potrebne infrastrukture i ulaganja u opremu za špilje, rafting, stijene za penjanje, vidikovce, adrenalinske parkove, golf vježbališta, te promotivne aktivnosti za postojeću ponudu. Kroz ovu mjeru podupiru se i zabavni, adrenalinski i tematski parkovi, tradicijski mali ploveći hoteli, obnova i uređenje izletničkih drvenih brodova tradicijske izgradnje, te kreiranje paket aranžmana novih turističkih proizvoda za tržišta posebnih interesa. </w:t>
      </w: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>Mjera C odnosi se na dostupnost i sigurnost turista, kroz sufinanciranje javno dostupnih defibrilatora (medicinski uređaji za spašavanje i oživljavanje) u ugostiteljskim objektima na otocima i na brodovima za krstarenje Jadranom, uz obveznu edukaciju djelatnika, te sufinanciranje inovativnih IT tehnologija vezanih za digitalnu interakciju s gostima, te aplikacije vezane za povećanje vidljivosti destinacijske ponude, posebnih oblika turizma, tematskih proizvoda i ruta.</w:t>
      </w:r>
    </w:p>
    <w:p w:rsidR="00865B6D" w:rsidRPr="00865B6D" w:rsidRDefault="00865B6D" w:rsidP="00865B6D">
      <w:pPr>
        <w:pStyle w:val="yiv898573542msonormal"/>
        <w:spacing w:line="276" w:lineRule="auto"/>
        <w:jc w:val="both"/>
        <w:rPr>
          <w:bCs/>
          <w:color w:val="000000"/>
        </w:rPr>
      </w:pPr>
    </w:p>
    <w:p w:rsidR="00865B6D" w:rsidRPr="00865B6D" w:rsidRDefault="00865B6D" w:rsidP="00865B6D">
      <w:pPr>
        <w:spacing w:line="276" w:lineRule="auto"/>
        <w:jc w:val="both"/>
        <w:rPr>
          <w:bCs/>
          <w:color w:val="000000"/>
        </w:rPr>
      </w:pPr>
      <w:r w:rsidRPr="00865B6D">
        <w:rPr>
          <w:bCs/>
          <w:color w:val="000000"/>
        </w:rPr>
        <w:t>Mjera D odnosi se na prepoznatljivost, pa će se tako financirati plasman otočnih proizvoda kroz opremanje prodajno izložbenih prostora u ugostiteljskim objektima na otocima,  te realizacija tematskih ruta i kreiranje paket aranžmana na temu „Hrvatski otočni proizvodi“. Kroz ovu mjeru također će se sufinancirati veći međunarodni skupovi u Hrvatskoj koji su vezani za investicije u turizmu, kao i promotivne aktivnosti vezane za prepoznatljivost pojedinih posebnih oblika turizma udruženih subjekata na nacionalnoj razini.</w:t>
      </w:r>
    </w:p>
    <w:p w:rsidR="00865B6D" w:rsidRPr="00865B6D" w:rsidRDefault="00865B6D" w:rsidP="00865B6D">
      <w:pPr>
        <w:jc w:val="both"/>
        <w:rPr>
          <w:color w:val="1F497D"/>
        </w:rPr>
      </w:pPr>
    </w:p>
    <w:p w:rsidR="0084421E" w:rsidRDefault="00865B6D" w:rsidP="0084421E">
      <w:pPr>
        <w:rPr>
          <w:sz w:val="22"/>
          <w:szCs w:val="22"/>
        </w:rPr>
      </w:pPr>
      <w:r w:rsidRPr="00865B6D">
        <w:rPr>
          <w:bCs/>
          <w:color w:val="000000"/>
        </w:rPr>
        <w:t xml:space="preserve">Javni poziv otvoren je do 01. ožujka 2019. godine, a cjeloviti tekst programa možete pronaći na </w:t>
      </w:r>
      <w:hyperlink r:id="rId7" w:history="1">
        <w:r w:rsidR="0084421E">
          <w:rPr>
            <w:rStyle w:val="Hyperlink"/>
          </w:rPr>
          <w:t>https://mint.gov.hr/javn</w:t>
        </w:r>
        <w:bookmarkStart w:id="1" w:name="_GoBack"/>
        <w:bookmarkEnd w:id="1"/>
        <w:r w:rsidR="0084421E">
          <w:rPr>
            <w:rStyle w:val="Hyperlink"/>
          </w:rPr>
          <w:t>i-pozivi-11414/11414</w:t>
        </w:r>
      </w:hyperlink>
    </w:p>
    <w:p w:rsidR="00865B6D" w:rsidRPr="00865B6D" w:rsidRDefault="00865B6D" w:rsidP="00865B6D">
      <w:pPr>
        <w:jc w:val="both"/>
        <w:rPr>
          <w:bCs/>
          <w:color w:val="000000"/>
        </w:rPr>
      </w:pPr>
    </w:p>
    <w:p w:rsidR="002D6B9A" w:rsidRPr="004727C0" w:rsidRDefault="002D6B9A" w:rsidP="005D45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D6B9A" w:rsidRPr="004727C0" w:rsidRDefault="002D6B9A" w:rsidP="0044028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:rsidR="00805EE2" w:rsidRPr="004727C0" w:rsidRDefault="00805EE2" w:rsidP="0044028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1A4F5C" w:rsidRDefault="001A4F5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74681" w:rsidRPr="004727C0" w:rsidRDefault="00D74681" w:rsidP="00D74681">
      <w:pPr>
        <w:jc w:val="right"/>
        <w:rPr>
          <w:rFonts w:ascii="Arial" w:hAnsi="Arial" w:cs="Arial"/>
        </w:rPr>
      </w:pPr>
      <w:r w:rsidRPr="004727C0">
        <w:rPr>
          <w:rFonts w:ascii="Arial" w:hAnsi="Arial" w:cs="Arial"/>
        </w:rPr>
        <w:lastRenderedPageBreak/>
        <w:t xml:space="preserve">                                   </w:t>
      </w:r>
    </w:p>
    <w:sectPr w:rsidR="00D74681" w:rsidRPr="004727C0" w:rsidSect="00C8589A">
      <w:headerReference w:type="default" r:id="rId8"/>
      <w:footerReference w:type="default" r:id="rId9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D7F" w:rsidRDefault="00C83D7F" w:rsidP="002D6B9A">
      <w:r>
        <w:separator/>
      </w:r>
    </w:p>
  </w:endnote>
  <w:endnote w:type="continuationSeparator" w:id="0">
    <w:p w:rsidR="00C83D7F" w:rsidRDefault="00C83D7F" w:rsidP="002D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9A" w:rsidRPr="002D6B9A" w:rsidRDefault="002D6B9A" w:rsidP="002D6B9A">
    <w:pPr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Kontakt: T</w:t>
    </w:r>
    <w:r w:rsidRPr="002D6B9A">
      <w:rPr>
        <w:rFonts w:ascii="Arial" w:hAnsi="Arial" w:cs="Arial"/>
        <w:sz w:val="22"/>
        <w:szCs w:val="22"/>
      </w:rPr>
      <w:t>: +385 (1) 6169 224</w:t>
    </w:r>
    <w:r>
      <w:rPr>
        <w:rFonts w:ascii="Arial" w:hAnsi="Arial" w:cs="Arial"/>
        <w:sz w:val="22"/>
        <w:szCs w:val="22"/>
      </w:rPr>
      <w:t xml:space="preserve"> / E: </w:t>
    </w:r>
    <w:hyperlink r:id="rId1" w:history="1">
      <w:r w:rsidRPr="00E056C3">
        <w:rPr>
          <w:rStyle w:val="Hyperlink"/>
          <w:rFonts w:ascii="Arial" w:hAnsi="Arial" w:cs="Arial"/>
          <w:sz w:val="22"/>
          <w:szCs w:val="22"/>
        </w:rPr>
        <w:t>press@mint.hr</w:t>
      </w:r>
    </w:hyperlink>
    <w:r>
      <w:rPr>
        <w:rFonts w:ascii="Arial" w:hAnsi="Arial" w:cs="Arial"/>
        <w:sz w:val="22"/>
        <w:szCs w:val="22"/>
      </w:rPr>
      <w:t xml:space="preserve"> / </w:t>
    </w:r>
    <w:hyperlink r:id="rId2" w:history="1">
      <w:r w:rsidRPr="00E056C3">
        <w:rPr>
          <w:rStyle w:val="Hyperlink"/>
          <w:rFonts w:ascii="Arial" w:hAnsi="Arial" w:cs="Arial"/>
          <w:sz w:val="22"/>
          <w:szCs w:val="22"/>
        </w:rPr>
        <w:t>http://www.mint.gov.hr/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D7F" w:rsidRDefault="00C83D7F" w:rsidP="002D6B9A">
      <w:r>
        <w:separator/>
      </w:r>
    </w:p>
  </w:footnote>
  <w:footnote w:type="continuationSeparator" w:id="0">
    <w:p w:rsidR="00C83D7F" w:rsidRDefault="00C83D7F" w:rsidP="002D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B9A" w:rsidRDefault="002D6B9A">
    <w:pPr>
      <w:pStyle w:val="Header"/>
    </w:pPr>
    <w:r w:rsidRPr="00075849">
      <w:rPr>
        <w:noProof/>
        <w:sz w:val="22"/>
        <w:szCs w:val="22"/>
      </w:rPr>
      <w:drawing>
        <wp:inline distT="0" distB="0" distL="0" distR="0">
          <wp:extent cx="1933575" cy="62094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NT-h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0421" t="38954" r="6890" b="42281"/>
                  <a:stretch/>
                </pic:blipFill>
                <pic:spPr bwMode="auto">
                  <a:xfrm>
                    <a:off x="0" y="0"/>
                    <a:ext cx="1944109" cy="624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2D6B9A" w:rsidRDefault="002D6B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B0EE4"/>
    <w:multiLevelType w:val="hybridMultilevel"/>
    <w:tmpl w:val="F250A728"/>
    <w:lvl w:ilvl="0" w:tplc="6C52E5E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4681"/>
    <w:rsid w:val="00010624"/>
    <w:rsid w:val="00021073"/>
    <w:rsid w:val="0004002D"/>
    <w:rsid w:val="0004210B"/>
    <w:rsid w:val="00042384"/>
    <w:rsid w:val="000B2F2D"/>
    <w:rsid w:val="001116D0"/>
    <w:rsid w:val="00111ED2"/>
    <w:rsid w:val="001271D2"/>
    <w:rsid w:val="00161B23"/>
    <w:rsid w:val="001A4F5C"/>
    <w:rsid w:val="001E1982"/>
    <w:rsid w:val="002639A3"/>
    <w:rsid w:val="002712BC"/>
    <w:rsid w:val="00283B07"/>
    <w:rsid w:val="002D6B9A"/>
    <w:rsid w:val="002E1025"/>
    <w:rsid w:val="002F3A11"/>
    <w:rsid w:val="00324037"/>
    <w:rsid w:val="00326549"/>
    <w:rsid w:val="00344D6A"/>
    <w:rsid w:val="00365597"/>
    <w:rsid w:val="00371285"/>
    <w:rsid w:val="003817E0"/>
    <w:rsid w:val="003A56AC"/>
    <w:rsid w:val="003B7021"/>
    <w:rsid w:val="00425734"/>
    <w:rsid w:val="00440280"/>
    <w:rsid w:val="00452123"/>
    <w:rsid w:val="004727C0"/>
    <w:rsid w:val="00486998"/>
    <w:rsid w:val="004928E1"/>
    <w:rsid w:val="004B52CC"/>
    <w:rsid w:val="004C23C4"/>
    <w:rsid w:val="004D3B35"/>
    <w:rsid w:val="004E757A"/>
    <w:rsid w:val="004F32F3"/>
    <w:rsid w:val="00511E40"/>
    <w:rsid w:val="00527BDF"/>
    <w:rsid w:val="00532FC1"/>
    <w:rsid w:val="005B529A"/>
    <w:rsid w:val="005C1E0D"/>
    <w:rsid w:val="005D459E"/>
    <w:rsid w:val="005E1F9D"/>
    <w:rsid w:val="005F5DCC"/>
    <w:rsid w:val="005F6B79"/>
    <w:rsid w:val="006110D1"/>
    <w:rsid w:val="00611C98"/>
    <w:rsid w:val="00620C1B"/>
    <w:rsid w:val="006355EA"/>
    <w:rsid w:val="006448FB"/>
    <w:rsid w:val="006810FA"/>
    <w:rsid w:val="0068432B"/>
    <w:rsid w:val="00690A30"/>
    <w:rsid w:val="006A5BA3"/>
    <w:rsid w:val="0070259B"/>
    <w:rsid w:val="00707FE1"/>
    <w:rsid w:val="007123D4"/>
    <w:rsid w:val="007152E6"/>
    <w:rsid w:val="007503F6"/>
    <w:rsid w:val="007719CA"/>
    <w:rsid w:val="007753D0"/>
    <w:rsid w:val="00781DDF"/>
    <w:rsid w:val="007A7C03"/>
    <w:rsid w:val="007B0B8B"/>
    <w:rsid w:val="007C7F85"/>
    <w:rsid w:val="00805EE2"/>
    <w:rsid w:val="00811926"/>
    <w:rsid w:val="00817085"/>
    <w:rsid w:val="00817358"/>
    <w:rsid w:val="00827DA2"/>
    <w:rsid w:val="00830BAE"/>
    <w:rsid w:val="0084421E"/>
    <w:rsid w:val="00865B6D"/>
    <w:rsid w:val="00894DEC"/>
    <w:rsid w:val="00905332"/>
    <w:rsid w:val="0091020C"/>
    <w:rsid w:val="00934C63"/>
    <w:rsid w:val="00981DA8"/>
    <w:rsid w:val="00997956"/>
    <w:rsid w:val="009D292B"/>
    <w:rsid w:val="009E1D19"/>
    <w:rsid w:val="00A16211"/>
    <w:rsid w:val="00A25767"/>
    <w:rsid w:val="00A46EEF"/>
    <w:rsid w:val="00A53401"/>
    <w:rsid w:val="00A64F38"/>
    <w:rsid w:val="00A84815"/>
    <w:rsid w:val="00A93AF4"/>
    <w:rsid w:val="00AE32AF"/>
    <w:rsid w:val="00AF2958"/>
    <w:rsid w:val="00AF305A"/>
    <w:rsid w:val="00AF637D"/>
    <w:rsid w:val="00B54665"/>
    <w:rsid w:val="00B858D8"/>
    <w:rsid w:val="00BA0607"/>
    <w:rsid w:val="00BA0EB3"/>
    <w:rsid w:val="00BF2A2C"/>
    <w:rsid w:val="00BF4C58"/>
    <w:rsid w:val="00C22C3A"/>
    <w:rsid w:val="00C32383"/>
    <w:rsid w:val="00C54177"/>
    <w:rsid w:val="00C73C86"/>
    <w:rsid w:val="00C83D7F"/>
    <w:rsid w:val="00C8589A"/>
    <w:rsid w:val="00D04934"/>
    <w:rsid w:val="00D42587"/>
    <w:rsid w:val="00D47989"/>
    <w:rsid w:val="00D61277"/>
    <w:rsid w:val="00D676B0"/>
    <w:rsid w:val="00D70C3F"/>
    <w:rsid w:val="00D70E19"/>
    <w:rsid w:val="00D74681"/>
    <w:rsid w:val="00D914BC"/>
    <w:rsid w:val="00D96192"/>
    <w:rsid w:val="00DB3DD9"/>
    <w:rsid w:val="00DC1677"/>
    <w:rsid w:val="00DC1C32"/>
    <w:rsid w:val="00DE481C"/>
    <w:rsid w:val="00E47710"/>
    <w:rsid w:val="00E51BDE"/>
    <w:rsid w:val="00E81385"/>
    <w:rsid w:val="00EA20FC"/>
    <w:rsid w:val="00EB4312"/>
    <w:rsid w:val="00F11BB9"/>
    <w:rsid w:val="00F74CB6"/>
    <w:rsid w:val="00F8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6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E198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2D6B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B9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D6B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B9A"/>
    <w:rPr>
      <w:sz w:val="24"/>
      <w:szCs w:val="24"/>
    </w:rPr>
  </w:style>
  <w:style w:type="character" w:styleId="Hyperlink">
    <w:name w:val="Hyperlink"/>
    <w:basedOn w:val="DefaultParagraphFont"/>
    <w:unhideWhenUsed/>
    <w:rsid w:val="002D6B9A"/>
    <w:rPr>
      <w:color w:val="0000FF"/>
      <w:u w:val="single"/>
    </w:rPr>
  </w:style>
  <w:style w:type="character" w:styleId="FollowedHyperlink">
    <w:name w:val="FollowedHyperlink"/>
    <w:basedOn w:val="DefaultParagraphFont"/>
    <w:rsid w:val="004727C0"/>
    <w:rPr>
      <w:color w:val="954F72" w:themeColor="followedHyperlink"/>
      <w:u w:val="single"/>
    </w:rPr>
  </w:style>
  <w:style w:type="paragraph" w:customStyle="1" w:styleId="yiv898573542msonormal">
    <w:name w:val="yiv898573542msonormal"/>
    <w:basedOn w:val="Normal"/>
    <w:rsid w:val="00865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t.gov.hr/javni-pozivi-11414/11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t.gov.hr/" TargetMode="External"/><Relationship Id="rId1" Type="http://schemas.openxmlformats.org/officeDocument/2006/relationships/hyperlink" Target="mailto:press@min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mint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Neriz</cp:lastModifiedBy>
  <cp:revision>2</cp:revision>
  <cp:lastPrinted>2015-01-05T12:01:00Z</cp:lastPrinted>
  <dcterms:created xsi:type="dcterms:W3CDTF">2019-01-28T11:58:00Z</dcterms:created>
  <dcterms:modified xsi:type="dcterms:W3CDTF">2019-01-28T11:58:00Z</dcterms:modified>
</cp:coreProperties>
</file>